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0E8" w14:textId="77777777" w:rsidR="0013318A" w:rsidRDefault="00200A50" w:rsidP="0013318A">
      <w:pPr>
        <w:pStyle w:val="Heading2"/>
        <w:jc w:val="center"/>
        <w:rPr>
          <w:b/>
          <w:sz w:val="28"/>
        </w:rPr>
      </w:pPr>
      <w:r w:rsidRPr="0013318A">
        <w:rPr>
          <w:b/>
          <w:sz w:val="28"/>
        </w:rPr>
        <w:t xml:space="preserve">UN </w:t>
      </w:r>
      <w:r w:rsidR="004A1C3C" w:rsidRPr="0013318A">
        <w:rPr>
          <w:b/>
          <w:sz w:val="28"/>
        </w:rPr>
        <w:t>General Assembly's Open-ended Working Group (OEWG) on Ageing</w:t>
      </w:r>
    </w:p>
    <w:p w14:paraId="2A423CC6" w14:textId="14B19905" w:rsidR="00696634" w:rsidRDefault="0098523E" w:rsidP="0013318A">
      <w:pPr>
        <w:pStyle w:val="Heading2"/>
        <w:jc w:val="center"/>
        <w:rPr>
          <w:b/>
          <w:sz w:val="28"/>
        </w:rPr>
      </w:pPr>
      <w:r w:rsidRPr="0013318A">
        <w:rPr>
          <w:sz w:val="28"/>
        </w:rPr>
        <w:br/>
      </w:r>
      <w:r w:rsidR="0013318A">
        <w:rPr>
          <w:b/>
          <w:sz w:val="28"/>
        </w:rPr>
        <w:t xml:space="preserve">Inputs from </w:t>
      </w:r>
      <w:r w:rsidR="004A1C3C" w:rsidRPr="0013318A">
        <w:rPr>
          <w:b/>
          <w:sz w:val="28"/>
        </w:rPr>
        <w:t xml:space="preserve">UN Women </w:t>
      </w:r>
      <w:r w:rsidR="0013318A">
        <w:rPr>
          <w:b/>
          <w:sz w:val="28"/>
        </w:rPr>
        <w:t xml:space="preserve"> </w:t>
      </w:r>
    </w:p>
    <w:p w14:paraId="6E531FB7" w14:textId="77777777" w:rsidR="0013318A" w:rsidRPr="0013318A" w:rsidRDefault="0013318A" w:rsidP="0013318A"/>
    <w:p w14:paraId="4F9D64E2" w14:textId="77777777" w:rsidR="004A1C3C" w:rsidRPr="004A1C3C" w:rsidRDefault="004A1C3C" w:rsidP="004A1C3C"/>
    <w:p w14:paraId="6433FF6D" w14:textId="408EE5A7" w:rsidR="006E43D3" w:rsidRDefault="00DA4493" w:rsidP="00216047">
      <w:pPr>
        <w:pStyle w:val="ListParagraph"/>
        <w:numPr>
          <w:ilvl w:val="0"/>
          <w:numId w:val="7"/>
        </w:numPr>
        <w:rPr>
          <w:b/>
          <w:sz w:val="24"/>
        </w:rPr>
      </w:pPr>
      <w:r w:rsidRPr="0013318A">
        <w:rPr>
          <w:b/>
          <w:sz w:val="24"/>
        </w:rPr>
        <w:t>"</w:t>
      </w:r>
      <w:r w:rsidRPr="0013318A">
        <w:rPr>
          <w:b/>
          <w:bCs/>
          <w:sz w:val="24"/>
        </w:rPr>
        <w:t>Social protection and social security including social protection floors</w:t>
      </w:r>
      <w:r w:rsidRPr="0013318A">
        <w:rPr>
          <w:b/>
          <w:sz w:val="24"/>
        </w:rPr>
        <w:t>"</w:t>
      </w:r>
    </w:p>
    <w:p w14:paraId="450D1A80" w14:textId="77777777" w:rsidR="00126FFB" w:rsidRPr="0013318A" w:rsidRDefault="00126FFB" w:rsidP="00126FFB">
      <w:pPr>
        <w:pStyle w:val="ListParagraph"/>
        <w:ind w:left="1080"/>
        <w:rPr>
          <w:b/>
          <w:sz w:val="24"/>
        </w:rPr>
      </w:pPr>
    </w:p>
    <w:p w14:paraId="4D80FDC4" w14:textId="795642A9" w:rsidR="003A1B01" w:rsidRPr="0013318A" w:rsidRDefault="005E4FFB" w:rsidP="00D26582">
      <w:pPr>
        <w:spacing w:line="240" w:lineRule="auto"/>
        <w:ind w:left="360"/>
        <w:rPr>
          <w:sz w:val="24"/>
          <w:szCs w:val="24"/>
        </w:rPr>
      </w:pPr>
      <w:r w:rsidRPr="0013318A">
        <w:rPr>
          <w:sz w:val="24"/>
          <w:szCs w:val="24"/>
        </w:rPr>
        <w:t xml:space="preserve">Globally, about </w:t>
      </w:r>
      <w:hyperlink r:id="rId7" w:history="1">
        <w:r w:rsidRPr="0013318A">
          <w:rPr>
            <w:rStyle w:val="Hyperlink"/>
            <w:sz w:val="24"/>
            <w:szCs w:val="24"/>
          </w:rPr>
          <w:t>one third of people above the retirement age lack access to an old-age pension</w:t>
        </w:r>
      </w:hyperlink>
      <w:r w:rsidRPr="0013318A">
        <w:rPr>
          <w:sz w:val="24"/>
          <w:szCs w:val="24"/>
        </w:rPr>
        <w:t>. In most countries, women are less likely than men to receive one and, where they do their benefit, levels are usually lower</w:t>
      </w:r>
      <w:r w:rsidR="003A1B01" w:rsidRPr="0013318A">
        <w:rPr>
          <w:sz w:val="24"/>
          <w:szCs w:val="24"/>
        </w:rPr>
        <w:t xml:space="preserve">: </w:t>
      </w:r>
    </w:p>
    <w:p w14:paraId="2102ADEF" w14:textId="255958CE" w:rsidR="00D7676B" w:rsidRPr="0013318A" w:rsidRDefault="003A1B01" w:rsidP="00D26582">
      <w:pPr>
        <w:pStyle w:val="ListParagraph"/>
        <w:numPr>
          <w:ilvl w:val="0"/>
          <w:numId w:val="5"/>
        </w:numPr>
        <w:spacing w:line="240" w:lineRule="auto"/>
        <w:ind w:left="1080"/>
        <w:rPr>
          <w:sz w:val="24"/>
          <w:szCs w:val="24"/>
        </w:rPr>
      </w:pPr>
      <w:r w:rsidRPr="0013318A">
        <w:rPr>
          <w:sz w:val="24"/>
          <w:szCs w:val="24"/>
        </w:rPr>
        <w:t xml:space="preserve">The global gender </w:t>
      </w:r>
      <w:r w:rsidR="00D7676B" w:rsidRPr="0013318A">
        <w:rPr>
          <w:sz w:val="24"/>
          <w:szCs w:val="24"/>
        </w:rPr>
        <w:t xml:space="preserve">gap in access to old-age pensions stands at 10.6 percentage points. </w:t>
      </w:r>
    </w:p>
    <w:p w14:paraId="6FB09EC4" w14:textId="5D39B316" w:rsidR="0044359A" w:rsidRPr="0013318A" w:rsidRDefault="0044359A" w:rsidP="00D26582">
      <w:pPr>
        <w:pStyle w:val="ListParagraph"/>
        <w:numPr>
          <w:ilvl w:val="0"/>
          <w:numId w:val="5"/>
        </w:numPr>
        <w:spacing w:line="240" w:lineRule="auto"/>
        <w:ind w:left="1080"/>
        <w:rPr>
          <w:sz w:val="24"/>
          <w:szCs w:val="24"/>
        </w:rPr>
      </w:pPr>
      <w:r w:rsidRPr="0013318A">
        <w:rPr>
          <w:sz w:val="24"/>
          <w:szCs w:val="24"/>
        </w:rPr>
        <w:t xml:space="preserve">Even where women are relatively well covered, their benefit levels tend to be lower than men’s. In the European Union, for example, women ’s pensions are on average </w:t>
      </w:r>
      <w:hyperlink r:id="rId8" w:history="1">
        <w:r w:rsidRPr="0013318A">
          <w:rPr>
            <w:rStyle w:val="Hyperlink"/>
            <w:sz w:val="24"/>
            <w:szCs w:val="24"/>
          </w:rPr>
          <w:t>36.6 percent lower</w:t>
        </w:r>
      </w:hyperlink>
      <w:r w:rsidRPr="0013318A">
        <w:rPr>
          <w:sz w:val="24"/>
          <w:szCs w:val="24"/>
        </w:rPr>
        <w:t xml:space="preserve"> than men ’s.</w:t>
      </w:r>
    </w:p>
    <w:p w14:paraId="702D33F3" w14:textId="6D64A3C1" w:rsidR="0067331F" w:rsidRPr="0013318A" w:rsidRDefault="00D7676B" w:rsidP="00D26582">
      <w:pPr>
        <w:spacing w:line="240" w:lineRule="auto"/>
        <w:ind w:left="360"/>
        <w:rPr>
          <w:sz w:val="24"/>
          <w:szCs w:val="24"/>
        </w:rPr>
      </w:pPr>
      <w:r w:rsidRPr="0013318A">
        <w:rPr>
          <w:sz w:val="24"/>
          <w:szCs w:val="24"/>
        </w:rPr>
        <w:t>Against this backdrop</w:t>
      </w:r>
      <w:r w:rsidR="00387723" w:rsidRPr="0013318A">
        <w:rPr>
          <w:sz w:val="24"/>
          <w:szCs w:val="24"/>
        </w:rPr>
        <w:t xml:space="preserve">, paid work often </w:t>
      </w:r>
      <w:r w:rsidRPr="0013318A">
        <w:rPr>
          <w:sz w:val="24"/>
          <w:szCs w:val="24"/>
        </w:rPr>
        <w:t xml:space="preserve">remains </w:t>
      </w:r>
      <w:r w:rsidR="00387723" w:rsidRPr="0013318A">
        <w:rPr>
          <w:sz w:val="24"/>
          <w:szCs w:val="24"/>
        </w:rPr>
        <w:t xml:space="preserve">a necessity for older women, especially </w:t>
      </w:r>
      <w:r w:rsidRPr="0013318A">
        <w:rPr>
          <w:sz w:val="24"/>
          <w:szCs w:val="24"/>
        </w:rPr>
        <w:t xml:space="preserve">in LMICs and among those </w:t>
      </w:r>
      <w:r w:rsidR="00387723" w:rsidRPr="0013318A">
        <w:rPr>
          <w:sz w:val="24"/>
          <w:szCs w:val="24"/>
        </w:rPr>
        <w:t>have experienced shocks, widowhood, HIV/AIDS in the family or migration of family members.</w:t>
      </w:r>
      <w:r w:rsidR="003D5FB3" w:rsidRPr="0013318A">
        <w:rPr>
          <w:sz w:val="24"/>
          <w:szCs w:val="24"/>
        </w:rPr>
        <w:t xml:space="preserve"> Meanwhile, older women also play an important role as unpaid caregivers for </w:t>
      </w:r>
      <w:r w:rsidR="0021293B" w:rsidRPr="0013318A">
        <w:rPr>
          <w:sz w:val="24"/>
          <w:szCs w:val="24"/>
        </w:rPr>
        <w:t xml:space="preserve">care-dependent adults and grandchildren. While some older women report paid and unpaid care work as rewarding experience, the necessity </w:t>
      </w:r>
      <w:r w:rsidR="00387723" w:rsidRPr="0013318A">
        <w:rPr>
          <w:sz w:val="24"/>
          <w:szCs w:val="24"/>
        </w:rPr>
        <w:t>to juggle both</w:t>
      </w:r>
      <w:r w:rsidR="0021293B" w:rsidRPr="0013318A">
        <w:rPr>
          <w:sz w:val="24"/>
          <w:szCs w:val="24"/>
        </w:rPr>
        <w:t xml:space="preserve"> way</w:t>
      </w:r>
      <w:r w:rsidR="00387723" w:rsidRPr="0013318A">
        <w:rPr>
          <w:sz w:val="24"/>
          <w:szCs w:val="24"/>
        </w:rPr>
        <w:t xml:space="preserve"> </w:t>
      </w:r>
      <w:r w:rsidR="0021293B" w:rsidRPr="0013318A">
        <w:rPr>
          <w:sz w:val="24"/>
          <w:szCs w:val="24"/>
        </w:rPr>
        <w:t xml:space="preserve">into old age </w:t>
      </w:r>
      <w:r w:rsidR="00387723" w:rsidRPr="0013318A">
        <w:rPr>
          <w:sz w:val="24"/>
          <w:szCs w:val="24"/>
        </w:rPr>
        <w:t xml:space="preserve">can </w:t>
      </w:r>
      <w:hyperlink r:id="rId9" w:history="1">
        <w:r w:rsidR="00387723" w:rsidRPr="0013318A">
          <w:rPr>
            <w:rStyle w:val="Hyperlink"/>
            <w:sz w:val="24"/>
            <w:szCs w:val="24"/>
          </w:rPr>
          <w:t>negatively affect</w:t>
        </w:r>
      </w:hyperlink>
      <w:r w:rsidR="00387723" w:rsidRPr="0013318A">
        <w:rPr>
          <w:sz w:val="24"/>
          <w:szCs w:val="24"/>
        </w:rPr>
        <w:t xml:space="preserve"> physical and mental health. </w:t>
      </w:r>
    </w:p>
    <w:p w14:paraId="71EF314D" w14:textId="3560E42D" w:rsidR="005E4FFB" w:rsidRPr="0013318A" w:rsidRDefault="005E4FFB" w:rsidP="00D26582">
      <w:pPr>
        <w:spacing w:line="240" w:lineRule="auto"/>
        <w:ind w:left="360"/>
        <w:rPr>
          <w:sz w:val="24"/>
          <w:szCs w:val="24"/>
        </w:rPr>
      </w:pPr>
      <w:r w:rsidRPr="0013318A">
        <w:rPr>
          <w:sz w:val="24"/>
          <w:szCs w:val="24"/>
        </w:rPr>
        <w:t xml:space="preserve">To strengthen women’s income security in old age, </w:t>
      </w:r>
      <w:hyperlink r:id="rId10" w:history="1">
        <w:r w:rsidRPr="0013318A">
          <w:rPr>
            <w:rStyle w:val="Hyperlink"/>
            <w:sz w:val="24"/>
            <w:szCs w:val="24"/>
          </w:rPr>
          <w:t>UN Women’s policy brief on gender-responsive pension systems</w:t>
        </w:r>
      </w:hyperlink>
      <w:r w:rsidRPr="0013318A">
        <w:rPr>
          <w:sz w:val="24"/>
          <w:szCs w:val="24"/>
        </w:rPr>
        <w:t xml:space="preserve"> recommends for countries to</w:t>
      </w:r>
      <w:r w:rsidR="003D1299" w:rsidRPr="0013318A">
        <w:rPr>
          <w:sz w:val="24"/>
          <w:szCs w:val="24"/>
        </w:rPr>
        <w:t>:</w:t>
      </w:r>
    </w:p>
    <w:p w14:paraId="004354A2" w14:textId="090697CD" w:rsidR="005E4FFB" w:rsidRPr="0013318A" w:rsidRDefault="005E4FFB" w:rsidP="00D26582">
      <w:pPr>
        <w:pStyle w:val="ListParagraph"/>
        <w:numPr>
          <w:ilvl w:val="0"/>
          <w:numId w:val="4"/>
        </w:numPr>
        <w:spacing w:line="240" w:lineRule="auto"/>
        <w:ind w:left="1080"/>
        <w:rPr>
          <w:sz w:val="24"/>
          <w:szCs w:val="24"/>
        </w:rPr>
      </w:pPr>
      <w:r w:rsidRPr="0013318A">
        <w:rPr>
          <w:sz w:val="24"/>
          <w:szCs w:val="24"/>
        </w:rPr>
        <w:t xml:space="preserve">Expand non-contributory social pensions that provide basic income security for all regardless of individual </w:t>
      </w:r>
      <w:proofErr w:type="spellStart"/>
      <w:r w:rsidRPr="0013318A">
        <w:rPr>
          <w:sz w:val="24"/>
          <w:szCs w:val="24"/>
        </w:rPr>
        <w:t>labour</w:t>
      </w:r>
      <w:proofErr w:type="spellEnd"/>
      <w:r w:rsidRPr="0013318A">
        <w:rPr>
          <w:sz w:val="24"/>
          <w:szCs w:val="24"/>
        </w:rPr>
        <w:t xml:space="preserve"> market trajectories or contributory records</w:t>
      </w:r>
      <w:r w:rsidR="00AA6EF9" w:rsidRPr="0013318A">
        <w:rPr>
          <w:sz w:val="24"/>
          <w:szCs w:val="24"/>
        </w:rPr>
        <w:t xml:space="preserve">. Evidence shows that the expansion of non-contributory social pensions cannot only boost overall coverage but also significantly reduce the gender gaps in pension coverage: </w:t>
      </w:r>
      <w:r w:rsidR="004B557D" w:rsidRPr="0013318A">
        <w:rPr>
          <w:sz w:val="24"/>
          <w:szCs w:val="24"/>
        </w:rPr>
        <w:t xml:space="preserve">In </w:t>
      </w:r>
      <w:r w:rsidR="00AA6EF9" w:rsidRPr="0013318A">
        <w:rPr>
          <w:sz w:val="24"/>
          <w:szCs w:val="24"/>
        </w:rPr>
        <w:t>Bolivia and Ecuador, for example, two countries where overall coverage was very low in the mid-1990s (35 and 22 per cent of older people had access to a pension in 1995)</w:t>
      </w:r>
      <w:r w:rsidR="004B557D" w:rsidRPr="0013318A">
        <w:rPr>
          <w:sz w:val="24"/>
          <w:szCs w:val="24"/>
        </w:rPr>
        <w:t xml:space="preserve"> the expansion of social pensions led to an increase in coverage to </w:t>
      </w:r>
      <w:r w:rsidR="00AA6EF9" w:rsidRPr="0013318A">
        <w:rPr>
          <w:sz w:val="24"/>
          <w:szCs w:val="24"/>
        </w:rPr>
        <w:t xml:space="preserve">96 and 66 per cent respectively </w:t>
      </w:r>
      <w:r w:rsidR="004B557D" w:rsidRPr="0013318A">
        <w:rPr>
          <w:sz w:val="24"/>
          <w:szCs w:val="24"/>
        </w:rPr>
        <w:t xml:space="preserve">by 2013 </w:t>
      </w:r>
      <w:r w:rsidR="00AA6EF9" w:rsidRPr="0013318A">
        <w:rPr>
          <w:sz w:val="24"/>
          <w:szCs w:val="24"/>
        </w:rPr>
        <w:t xml:space="preserve">and gender gaps </w:t>
      </w:r>
      <w:r w:rsidR="00063E1C" w:rsidRPr="0013318A">
        <w:rPr>
          <w:sz w:val="24"/>
          <w:szCs w:val="24"/>
        </w:rPr>
        <w:t xml:space="preserve">in coverage </w:t>
      </w:r>
      <w:r w:rsidR="00AA6EF9" w:rsidRPr="0013318A">
        <w:rPr>
          <w:sz w:val="24"/>
          <w:szCs w:val="24"/>
        </w:rPr>
        <w:t>practically disappeared.</w:t>
      </w:r>
    </w:p>
    <w:p w14:paraId="32126F7E" w14:textId="2816BD5B" w:rsidR="005E4FFB" w:rsidRPr="0013318A" w:rsidRDefault="005E4FFB" w:rsidP="00D26582">
      <w:pPr>
        <w:pStyle w:val="ListParagraph"/>
        <w:numPr>
          <w:ilvl w:val="0"/>
          <w:numId w:val="4"/>
        </w:numPr>
        <w:spacing w:line="240" w:lineRule="auto"/>
        <w:ind w:left="1080"/>
        <w:rPr>
          <w:sz w:val="24"/>
          <w:szCs w:val="24"/>
        </w:rPr>
      </w:pPr>
      <w:r w:rsidRPr="0013318A">
        <w:rPr>
          <w:sz w:val="24"/>
          <w:szCs w:val="24"/>
        </w:rPr>
        <w:t>Privilege universal</w:t>
      </w:r>
      <w:r w:rsidR="00931924" w:rsidRPr="0013318A">
        <w:rPr>
          <w:sz w:val="24"/>
          <w:szCs w:val="24"/>
        </w:rPr>
        <w:t xml:space="preserve"> </w:t>
      </w:r>
      <w:r w:rsidR="00063E1C" w:rsidRPr="0013318A">
        <w:rPr>
          <w:sz w:val="24"/>
          <w:szCs w:val="24"/>
        </w:rPr>
        <w:t xml:space="preserve">social pension </w:t>
      </w:r>
      <w:r w:rsidR="00931924" w:rsidRPr="0013318A">
        <w:rPr>
          <w:sz w:val="24"/>
          <w:szCs w:val="24"/>
        </w:rPr>
        <w:t xml:space="preserve">schemes </w:t>
      </w:r>
      <w:r w:rsidRPr="0013318A">
        <w:rPr>
          <w:sz w:val="24"/>
          <w:szCs w:val="24"/>
        </w:rPr>
        <w:t>which are the most effective way to reach women as individuals</w:t>
      </w:r>
    </w:p>
    <w:p w14:paraId="084C07CD" w14:textId="6E8BF5DD" w:rsidR="005E4FFB" w:rsidRPr="0013318A" w:rsidRDefault="005E4FFB" w:rsidP="00D26582">
      <w:pPr>
        <w:pStyle w:val="ListParagraph"/>
        <w:numPr>
          <w:ilvl w:val="0"/>
          <w:numId w:val="4"/>
        </w:numPr>
        <w:spacing w:line="240" w:lineRule="auto"/>
        <w:ind w:left="1080"/>
        <w:rPr>
          <w:sz w:val="24"/>
          <w:szCs w:val="24"/>
        </w:rPr>
      </w:pPr>
      <w:r w:rsidRPr="0013318A">
        <w:rPr>
          <w:sz w:val="24"/>
          <w:szCs w:val="24"/>
        </w:rPr>
        <w:t xml:space="preserve">Pending the introduction of universal schemes, choose pension-testing over means-testing </w:t>
      </w:r>
      <w:r w:rsidR="00063E1C" w:rsidRPr="0013318A">
        <w:rPr>
          <w:sz w:val="24"/>
          <w:szCs w:val="24"/>
        </w:rPr>
        <w:t xml:space="preserve">in non-contributory programmes </w:t>
      </w:r>
      <w:r w:rsidRPr="0013318A">
        <w:rPr>
          <w:sz w:val="24"/>
          <w:szCs w:val="24"/>
        </w:rPr>
        <w:t xml:space="preserve">to </w:t>
      </w:r>
      <w:r w:rsidR="00063E1C" w:rsidRPr="0013318A">
        <w:rPr>
          <w:sz w:val="24"/>
          <w:szCs w:val="24"/>
        </w:rPr>
        <w:t xml:space="preserve">ensure </w:t>
      </w:r>
      <w:r w:rsidRPr="0013318A">
        <w:rPr>
          <w:sz w:val="24"/>
          <w:szCs w:val="24"/>
        </w:rPr>
        <w:t>women’s economic autonomy</w:t>
      </w:r>
    </w:p>
    <w:p w14:paraId="67D3E8DC" w14:textId="77777777" w:rsidR="005E4FFB" w:rsidRPr="0013318A" w:rsidRDefault="005E4FFB" w:rsidP="00D26582">
      <w:pPr>
        <w:pStyle w:val="ListParagraph"/>
        <w:numPr>
          <w:ilvl w:val="0"/>
          <w:numId w:val="4"/>
        </w:numPr>
        <w:spacing w:line="240" w:lineRule="auto"/>
        <w:ind w:left="1080"/>
        <w:rPr>
          <w:sz w:val="24"/>
          <w:szCs w:val="24"/>
        </w:rPr>
      </w:pPr>
      <w:r w:rsidRPr="0013318A">
        <w:rPr>
          <w:sz w:val="24"/>
          <w:szCs w:val="24"/>
        </w:rPr>
        <w:t>Ensure that the benefit levels of social pensions are at least high enough to keep older women out of poverty</w:t>
      </w:r>
    </w:p>
    <w:p w14:paraId="47993243" w14:textId="77777777" w:rsidR="005E4FFB" w:rsidRPr="0013318A" w:rsidRDefault="005E4FFB" w:rsidP="00D26582">
      <w:pPr>
        <w:pStyle w:val="ListParagraph"/>
        <w:numPr>
          <w:ilvl w:val="0"/>
          <w:numId w:val="4"/>
        </w:numPr>
        <w:spacing w:line="240" w:lineRule="auto"/>
        <w:ind w:left="1080"/>
        <w:rPr>
          <w:sz w:val="24"/>
          <w:szCs w:val="24"/>
        </w:rPr>
      </w:pPr>
      <w:r w:rsidRPr="0013318A">
        <w:rPr>
          <w:sz w:val="24"/>
          <w:szCs w:val="24"/>
        </w:rPr>
        <w:lastRenderedPageBreak/>
        <w:t xml:space="preserve">Avoid punishing short or interrupted </w:t>
      </w:r>
      <w:proofErr w:type="spellStart"/>
      <w:r w:rsidRPr="0013318A">
        <w:rPr>
          <w:sz w:val="24"/>
          <w:szCs w:val="24"/>
        </w:rPr>
        <w:t>labour</w:t>
      </w:r>
      <w:proofErr w:type="spellEnd"/>
      <w:r w:rsidRPr="0013318A">
        <w:rPr>
          <w:sz w:val="24"/>
          <w:szCs w:val="24"/>
        </w:rPr>
        <w:t xml:space="preserve"> market histories by ensuring that the requirements to access minimum contributory pensions allow for the incorporation of most women</w:t>
      </w:r>
    </w:p>
    <w:p w14:paraId="5B2A1539" w14:textId="69273F2F" w:rsidR="005E4FFB" w:rsidRPr="0013318A" w:rsidRDefault="005E4FFB" w:rsidP="00D26582">
      <w:pPr>
        <w:pStyle w:val="ListParagraph"/>
        <w:numPr>
          <w:ilvl w:val="0"/>
          <w:numId w:val="4"/>
        </w:numPr>
        <w:spacing w:line="240" w:lineRule="auto"/>
        <w:ind w:left="1080"/>
        <w:rPr>
          <w:sz w:val="24"/>
          <w:szCs w:val="24"/>
        </w:rPr>
      </w:pPr>
      <w:r w:rsidRPr="0013318A">
        <w:rPr>
          <w:sz w:val="24"/>
          <w:szCs w:val="24"/>
        </w:rPr>
        <w:t>Compensate for time dedicated to childrearing or other unpaid care work through adequate contribution credits</w:t>
      </w:r>
      <w:r w:rsidR="00063E1C" w:rsidRPr="0013318A">
        <w:rPr>
          <w:sz w:val="24"/>
          <w:szCs w:val="24"/>
        </w:rPr>
        <w:t xml:space="preserve"> (“care credits”)</w:t>
      </w:r>
    </w:p>
    <w:p w14:paraId="787D0039" w14:textId="77777777" w:rsidR="005E4FFB" w:rsidRPr="0013318A" w:rsidRDefault="005E4FFB" w:rsidP="00D26582">
      <w:pPr>
        <w:pStyle w:val="ListParagraph"/>
        <w:numPr>
          <w:ilvl w:val="0"/>
          <w:numId w:val="4"/>
        </w:numPr>
        <w:spacing w:line="240" w:lineRule="auto"/>
        <w:ind w:left="1080"/>
        <w:rPr>
          <w:sz w:val="24"/>
          <w:szCs w:val="24"/>
        </w:rPr>
      </w:pPr>
      <w:r w:rsidRPr="0013318A">
        <w:rPr>
          <w:sz w:val="24"/>
          <w:szCs w:val="24"/>
        </w:rPr>
        <w:t>Pool longevity risks broadly and avoid penalizing women for higher life expectancy, including by eliminating the use of gender-specific actuarial tables</w:t>
      </w:r>
    </w:p>
    <w:p w14:paraId="6E7E86B6" w14:textId="1A78080D" w:rsidR="005E4FFB" w:rsidRPr="0013318A" w:rsidRDefault="005E4FFB" w:rsidP="00D26582">
      <w:pPr>
        <w:pStyle w:val="ListParagraph"/>
        <w:numPr>
          <w:ilvl w:val="0"/>
          <w:numId w:val="4"/>
        </w:numPr>
        <w:spacing w:line="240" w:lineRule="auto"/>
        <w:ind w:left="1080"/>
        <w:rPr>
          <w:sz w:val="24"/>
          <w:szCs w:val="24"/>
        </w:rPr>
      </w:pPr>
      <w:r w:rsidRPr="0013318A">
        <w:rPr>
          <w:sz w:val="24"/>
          <w:szCs w:val="24"/>
        </w:rPr>
        <w:t>Regularly adjust benefit levels to inflation or wage increases to avoid the gradual loss of purchasing power, which affects women disproportionately</w:t>
      </w:r>
    </w:p>
    <w:p w14:paraId="4BEB8D58" w14:textId="7CEABE90" w:rsidR="00CD577D" w:rsidRPr="0013318A" w:rsidRDefault="00CB379D" w:rsidP="00D26582">
      <w:pPr>
        <w:spacing w:line="240" w:lineRule="auto"/>
        <w:ind w:left="360"/>
        <w:rPr>
          <w:sz w:val="24"/>
          <w:szCs w:val="24"/>
        </w:rPr>
      </w:pPr>
      <w:hyperlink r:id="rId11" w:history="1">
        <w:r w:rsidRPr="0013318A">
          <w:rPr>
            <w:rStyle w:val="Hyperlink"/>
            <w:sz w:val="24"/>
            <w:szCs w:val="24"/>
          </w:rPr>
          <w:t>The sixty-third session of the Commission on the Status of Women</w:t>
        </w:r>
      </w:hyperlink>
      <w:r w:rsidRPr="0013318A">
        <w:rPr>
          <w:sz w:val="24"/>
          <w:szCs w:val="24"/>
        </w:rPr>
        <w:t xml:space="preserve"> (CSW) will take place at the United Nations Headquarters in New York from 11 to 22 March 2019.  As it’s priority theme, CSW will consider “</w:t>
      </w:r>
      <w:r w:rsidRPr="0013318A">
        <w:rPr>
          <w:i/>
          <w:sz w:val="24"/>
          <w:szCs w:val="24"/>
        </w:rPr>
        <w:t>Social protection systems, access to public services and sustainable infrastructure for gender equality and the empowerment of women and girls</w:t>
      </w:r>
      <w:r w:rsidRPr="0013318A">
        <w:rPr>
          <w:i/>
          <w:sz w:val="24"/>
          <w:szCs w:val="24"/>
        </w:rPr>
        <w:t>.”</w:t>
      </w:r>
      <w:r w:rsidRPr="0013318A">
        <w:rPr>
          <w:sz w:val="24"/>
          <w:szCs w:val="24"/>
        </w:rPr>
        <w:t xml:space="preserve">  This is an </w:t>
      </w:r>
      <w:r w:rsidRPr="0013318A">
        <w:rPr>
          <w:sz w:val="24"/>
          <w:szCs w:val="24"/>
        </w:rPr>
        <w:t xml:space="preserve">important opportunity for </w:t>
      </w:r>
      <w:r w:rsidRPr="0013318A">
        <w:rPr>
          <w:sz w:val="24"/>
          <w:szCs w:val="24"/>
        </w:rPr>
        <w:t>M</w:t>
      </w:r>
      <w:r w:rsidRPr="0013318A">
        <w:rPr>
          <w:sz w:val="24"/>
          <w:szCs w:val="24"/>
        </w:rPr>
        <w:t xml:space="preserve">ember </w:t>
      </w:r>
      <w:r w:rsidRPr="0013318A">
        <w:rPr>
          <w:sz w:val="24"/>
          <w:szCs w:val="24"/>
        </w:rPr>
        <w:t>S</w:t>
      </w:r>
      <w:r w:rsidRPr="0013318A">
        <w:rPr>
          <w:sz w:val="24"/>
          <w:szCs w:val="24"/>
        </w:rPr>
        <w:t>tates to adopt strong conclusions about social protection for older women and strengthening long term care systems.</w:t>
      </w:r>
      <w:r w:rsidRPr="0013318A">
        <w:rPr>
          <w:sz w:val="24"/>
          <w:szCs w:val="24"/>
        </w:rPr>
        <w:br/>
      </w:r>
      <w:r w:rsidRPr="0013318A">
        <w:rPr>
          <w:sz w:val="24"/>
          <w:szCs w:val="24"/>
        </w:rPr>
        <w:br/>
      </w:r>
    </w:p>
    <w:p w14:paraId="1B5386D5" w14:textId="7A65C1FD" w:rsidR="004A1C3C" w:rsidRPr="0013318A" w:rsidRDefault="00223DEE" w:rsidP="00216047">
      <w:pPr>
        <w:pStyle w:val="ListParagraph"/>
        <w:numPr>
          <w:ilvl w:val="0"/>
          <w:numId w:val="7"/>
        </w:numPr>
        <w:rPr>
          <w:sz w:val="24"/>
          <w:szCs w:val="24"/>
        </w:rPr>
      </w:pPr>
      <w:r>
        <w:rPr>
          <w:b/>
          <w:sz w:val="24"/>
          <w:szCs w:val="24"/>
        </w:rPr>
        <w:t>“</w:t>
      </w:r>
      <w:r w:rsidR="004A1C3C" w:rsidRPr="0013318A">
        <w:rPr>
          <w:b/>
          <w:bCs/>
          <w:sz w:val="24"/>
          <w:szCs w:val="24"/>
        </w:rPr>
        <w:t>Long-term and Palliative Care</w:t>
      </w:r>
      <w:r w:rsidR="004A1C3C" w:rsidRPr="0013318A">
        <w:rPr>
          <w:sz w:val="24"/>
          <w:szCs w:val="24"/>
        </w:rPr>
        <w:t>”</w:t>
      </w:r>
    </w:p>
    <w:p w14:paraId="7E03E8D2" w14:textId="77777777" w:rsidR="00126FFB" w:rsidRDefault="00126FFB" w:rsidP="00B37974">
      <w:pPr>
        <w:pStyle w:val="NoSpacing"/>
        <w:ind w:left="360"/>
        <w:rPr>
          <w:sz w:val="24"/>
          <w:szCs w:val="24"/>
        </w:rPr>
      </w:pPr>
    </w:p>
    <w:p w14:paraId="09E69C38" w14:textId="22BE6A62" w:rsidR="007354EA" w:rsidRPr="0013318A" w:rsidRDefault="007354EA" w:rsidP="00B37974">
      <w:pPr>
        <w:pStyle w:val="NoSpacing"/>
        <w:ind w:left="360"/>
        <w:rPr>
          <w:sz w:val="24"/>
          <w:szCs w:val="24"/>
        </w:rPr>
      </w:pPr>
      <w:bookmarkStart w:id="0" w:name="_GoBack"/>
      <w:bookmarkEnd w:id="0"/>
      <w:r w:rsidRPr="0013318A">
        <w:rPr>
          <w:sz w:val="24"/>
          <w:szCs w:val="24"/>
        </w:rPr>
        <w:t xml:space="preserve">Adequate and dignified care provision for care-dependent older persons, also known as long-term care (LTC), is becoming an urgent policy issue in all countries, both developed and developing. UN Women’s global monitoring report </w:t>
      </w:r>
      <w:hyperlink r:id="rId12" w:anchor="view" w:history="1">
        <w:r w:rsidRPr="0013318A">
          <w:rPr>
            <w:rStyle w:val="Hyperlink"/>
            <w:sz w:val="24"/>
            <w:szCs w:val="24"/>
          </w:rPr>
          <w:t>Turning Promises into Action: Gender Equality in the 2030 Agenda for Sustainable Development</w:t>
        </w:r>
      </w:hyperlink>
      <w:r w:rsidRPr="0013318A">
        <w:rPr>
          <w:sz w:val="24"/>
          <w:szCs w:val="24"/>
        </w:rPr>
        <w:t xml:space="preserve"> (Chapter 6) shows that LTC is a critical policy area for achieving the SDGs for women. investments in a</w:t>
      </w:r>
      <w:r w:rsidRPr="0013318A">
        <w:rPr>
          <w:rFonts w:ascii="Calibri" w:hAnsi="Calibri" w:cs="Calibri"/>
          <w:sz w:val="24"/>
          <w:szCs w:val="24"/>
        </w:rPr>
        <w:t>ff</w:t>
      </w:r>
      <w:r w:rsidRPr="0013318A">
        <w:rPr>
          <w:sz w:val="24"/>
          <w:szCs w:val="24"/>
        </w:rPr>
        <w:t>ordable, accessible and quality LTC systems can contribute to progress across multiple goals, for example by:</w:t>
      </w:r>
    </w:p>
    <w:p w14:paraId="6F03D20E" w14:textId="77777777" w:rsidR="007354EA" w:rsidRPr="0013318A" w:rsidRDefault="007354EA" w:rsidP="00B37974">
      <w:pPr>
        <w:pStyle w:val="NoSpacing"/>
        <w:ind w:left="360"/>
        <w:rPr>
          <w:sz w:val="24"/>
          <w:szCs w:val="24"/>
        </w:rPr>
      </w:pPr>
    </w:p>
    <w:p w14:paraId="009E4865" w14:textId="77777777" w:rsidR="007354EA" w:rsidRPr="0013318A" w:rsidRDefault="007354EA" w:rsidP="00B37974">
      <w:pPr>
        <w:pStyle w:val="NoSpacing"/>
        <w:numPr>
          <w:ilvl w:val="0"/>
          <w:numId w:val="1"/>
        </w:numPr>
        <w:ind w:left="1080"/>
        <w:rPr>
          <w:sz w:val="24"/>
          <w:szCs w:val="24"/>
        </w:rPr>
      </w:pPr>
      <w:r w:rsidRPr="0013318A">
        <w:rPr>
          <w:sz w:val="24"/>
          <w:szCs w:val="24"/>
        </w:rPr>
        <w:t>Enabling the well-being and autonomy of older persons, among whom women are overrepresented (Target 3.4)</w:t>
      </w:r>
    </w:p>
    <w:p w14:paraId="534BEDFB" w14:textId="77777777" w:rsidR="007354EA" w:rsidRPr="0013318A" w:rsidRDefault="007354EA" w:rsidP="00B37974">
      <w:pPr>
        <w:pStyle w:val="NoSpacing"/>
        <w:numPr>
          <w:ilvl w:val="0"/>
          <w:numId w:val="1"/>
        </w:numPr>
        <w:ind w:left="1080"/>
        <w:rPr>
          <w:sz w:val="24"/>
          <w:szCs w:val="24"/>
        </w:rPr>
      </w:pPr>
      <w:r w:rsidRPr="0013318A">
        <w:rPr>
          <w:sz w:val="24"/>
          <w:szCs w:val="24"/>
        </w:rPr>
        <w:t>Providing respite for unpaid caregivers, also predominantly women, by shifting some of the responsibility to care workers (Target 5.4)</w:t>
      </w:r>
    </w:p>
    <w:p w14:paraId="22F5A53B" w14:textId="77777777" w:rsidR="007354EA" w:rsidRPr="0013318A" w:rsidRDefault="007354EA" w:rsidP="00B37974">
      <w:pPr>
        <w:pStyle w:val="NoSpacing"/>
        <w:numPr>
          <w:ilvl w:val="0"/>
          <w:numId w:val="1"/>
        </w:numPr>
        <w:ind w:left="1080"/>
        <w:rPr>
          <w:sz w:val="24"/>
          <w:szCs w:val="24"/>
        </w:rPr>
      </w:pPr>
      <w:r w:rsidRPr="0013318A">
        <w:rPr>
          <w:sz w:val="24"/>
          <w:szCs w:val="24"/>
        </w:rPr>
        <w:t xml:space="preserve">Giving unpaid caregivers the capacity to maintain their connection to the </w:t>
      </w:r>
      <w:proofErr w:type="spellStart"/>
      <w:r w:rsidRPr="0013318A">
        <w:rPr>
          <w:sz w:val="24"/>
          <w:szCs w:val="24"/>
        </w:rPr>
        <w:t>labour</w:t>
      </w:r>
      <w:proofErr w:type="spellEnd"/>
      <w:r w:rsidRPr="0013318A">
        <w:rPr>
          <w:sz w:val="24"/>
          <w:szCs w:val="24"/>
        </w:rPr>
        <w:t xml:space="preserve"> market (Target 8.5)</w:t>
      </w:r>
    </w:p>
    <w:p w14:paraId="44D08EB7" w14:textId="77777777" w:rsidR="007354EA" w:rsidRPr="0013318A" w:rsidRDefault="007354EA" w:rsidP="00B37974">
      <w:pPr>
        <w:pStyle w:val="NoSpacing"/>
        <w:numPr>
          <w:ilvl w:val="0"/>
          <w:numId w:val="1"/>
        </w:numPr>
        <w:ind w:left="1080"/>
        <w:rPr>
          <w:sz w:val="24"/>
          <w:szCs w:val="24"/>
        </w:rPr>
      </w:pPr>
      <w:r w:rsidRPr="0013318A">
        <w:rPr>
          <w:sz w:val="24"/>
          <w:szCs w:val="24"/>
        </w:rPr>
        <w:t>Creating decent jobs (Target 8.3) in the social care sector by promoting adequate wages, working conditions and training opportunities for a predominantly female workforce that is often also disadvantaged in terms of ethnic, racial and migration status.</w:t>
      </w:r>
    </w:p>
    <w:p w14:paraId="0FFFEADC" w14:textId="77777777" w:rsidR="007354EA" w:rsidRPr="0013318A" w:rsidRDefault="007354EA" w:rsidP="00B37974">
      <w:pPr>
        <w:pStyle w:val="NoSpacing"/>
        <w:ind w:left="360"/>
        <w:rPr>
          <w:sz w:val="24"/>
          <w:szCs w:val="24"/>
        </w:rPr>
      </w:pPr>
    </w:p>
    <w:p w14:paraId="67E1AE5F" w14:textId="77777777" w:rsidR="007354EA" w:rsidRPr="0013318A" w:rsidRDefault="007354EA" w:rsidP="00B37974">
      <w:pPr>
        <w:pStyle w:val="NoSpacing"/>
        <w:ind w:left="360"/>
        <w:rPr>
          <w:sz w:val="24"/>
          <w:szCs w:val="24"/>
        </w:rPr>
      </w:pPr>
      <w:r w:rsidRPr="0013318A">
        <w:rPr>
          <w:sz w:val="24"/>
          <w:szCs w:val="24"/>
        </w:rPr>
        <w:t xml:space="preserve">The low priority accorded to LTC is in part because policymakers may not be aware of the pressure this is exerting on unpaid caregivers, predominantly female spouses, daughters and daughters-in-law. In addition, there is a pervasive view that families are best placed to care for the older generation. </w:t>
      </w:r>
    </w:p>
    <w:p w14:paraId="3328AA17" w14:textId="0A509DAF" w:rsidR="007354EA" w:rsidRPr="0013318A" w:rsidRDefault="007354EA" w:rsidP="00B37974">
      <w:pPr>
        <w:pStyle w:val="NoSpacing"/>
        <w:ind w:left="360"/>
        <w:rPr>
          <w:sz w:val="24"/>
          <w:szCs w:val="24"/>
        </w:rPr>
      </w:pPr>
      <w:r w:rsidRPr="0013318A">
        <w:rPr>
          <w:sz w:val="24"/>
          <w:szCs w:val="24"/>
        </w:rPr>
        <w:t>Yet models of exclusive family care are unsustainable in the face of far-reaching societal changes</w:t>
      </w:r>
      <w:r w:rsidR="00E325F0" w:rsidRPr="0013318A">
        <w:rPr>
          <w:sz w:val="24"/>
          <w:szCs w:val="24"/>
        </w:rPr>
        <w:t xml:space="preserve">, such as migration; women’s increasing participation in the </w:t>
      </w:r>
      <w:proofErr w:type="spellStart"/>
      <w:r w:rsidR="00E325F0" w:rsidRPr="0013318A">
        <w:rPr>
          <w:sz w:val="24"/>
          <w:szCs w:val="24"/>
        </w:rPr>
        <w:t>labour</w:t>
      </w:r>
      <w:proofErr w:type="spellEnd"/>
      <w:r w:rsidR="00E325F0" w:rsidRPr="0013318A">
        <w:rPr>
          <w:sz w:val="24"/>
          <w:szCs w:val="24"/>
        </w:rPr>
        <w:t xml:space="preserve"> force and the </w:t>
      </w:r>
      <w:r w:rsidRPr="0013318A">
        <w:rPr>
          <w:sz w:val="24"/>
          <w:szCs w:val="24"/>
        </w:rPr>
        <w:t>concomitant reliance of families on their earnings</w:t>
      </w:r>
      <w:r w:rsidR="00E325F0" w:rsidRPr="0013318A">
        <w:rPr>
          <w:sz w:val="24"/>
          <w:szCs w:val="24"/>
        </w:rPr>
        <w:t>; social norm change which means that f</w:t>
      </w:r>
      <w:r w:rsidRPr="0013318A">
        <w:rPr>
          <w:sz w:val="24"/>
          <w:szCs w:val="24"/>
        </w:rPr>
        <w:t xml:space="preserve">rail older persons themselves sometimes express a preference for greater autonomy and not wanting to </w:t>
      </w:r>
      <w:r w:rsidR="00E325F0" w:rsidRPr="0013318A">
        <w:rPr>
          <w:sz w:val="24"/>
          <w:szCs w:val="24"/>
        </w:rPr>
        <w:t xml:space="preserve">rely exclusively </w:t>
      </w:r>
      <w:r w:rsidRPr="0013318A">
        <w:rPr>
          <w:sz w:val="24"/>
          <w:szCs w:val="24"/>
        </w:rPr>
        <w:t>on their children.</w:t>
      </w:r>
    </w:p>
    <w:p w14:paraId="3A12031C" w14:textId="77777777" w:rsidR="007354EA" w:rsidRPr="0013318A" w:rsidRDefault="007354EA" w:rsidP="00B37974">
      <w:pPr>
        <w:pStyle w:val="NoSpacing"/>
        <w:ind w:left="360"/>
        <w:rPr>
          <w:sz w:val="24"/>
          <w:szCs w:val="24"/>
        </w:rPr>
      </w:pPr>
    </w:p>
    <w:p w14:paraId="600E0FFA" w14:textId="0362D75A" w:rsidR="007354EA" w:rsidRPr="0013318A" w:rsidRDefault="007354EA" w:rsidP="00B37974">
      <w:pPr>
        <w:pStyle w:val="NoSpacing"/>
        <w:ind w:left="360"/>
        <w:rPr>
          <w:sz w:val="24"/>
          <w:szCs w:val="24"/>
        </w:rPr>
      </w:pPr>
      <w:r w:rsidRPr="0013318A">
        <w:rPr>
          <w:sz w:val="24"/>
          <w:szCs w:val="24"/>
        </w:rPr>
        <w:t xml:space="preserve">UN Women’s </w:t>
      </w:r>
      <w:hyperlink r:id="rId13" w:history="1">
        <w:r w:rsidRPr="0013318A">
          <w:rPr>
            <w:rStyle w:val="Hyperlink"/>
            <w:sz w:val="24"/>
            <w:szCs w:val="24"/>
          </w:rPr>
          <w:t>policy brief on long-term care for older people</w:t>
        </w:r>
      </w:hyperlink>
      <w:r w:rsidRPr="0013318A">
        <w:rPr>
          <w:sz w:val="24"/>
          <w:szCs w:val="24"/>
        </w:rPr>
        <w:t xml:space="preserve"> argues that integrated and gender-responsive LTC systems should pursue multiple objectives, including promoting the well-being, dignity and rights of care-dependent older people; the reduction and redistribution of the heavy responsibilities placed on unpaid family </w:t>
      </w:r>
      <w:proofErr w:type="spellStart"/>
      <w:r w:rsidRPr="0013318A">
        <w:rPr>
          <w:sz w:val="24"/>
          <w:szCs w:val="24"/>
        </w:rPr>
        <w:t>carers</w:t>
      </w:r>
      <w:proofErr w:type="spellEnd"/>
      <w:r w:rsidRPr="0013318A">
        <w:rPr>
          <w:sz w:val="24"/>
          <w:szCs w:val="24"/>
        </w:rPr>
        <w:t>; improving the accessibility, affordability and quality of LTC services; and respecting the rights of paid LTC workers. It recommends for countries to:</w:t>
      </w:r>
    </w:p>
    <w:p w14:paraId="1687DC9D" w14:textId="77777777" w:rsidR="007354EA" w:rsidRPr="0013318A" w:rsidRDefault="007354EA" w:rsidP="00B37974">
      <w:pPr>
        <w:pStyle w:val="NoSpacing"/>
        <w:ind w:left="360"/>
        <w:rPr>
          <w:sz w:val="24"/>
          <w:szCs w:val="24"/>
        </w:rPr>
      </w:pPr>
    </w:p>
    <w:p w14:paraId="752730FF" w14:textId="77777777" w:rsidR="007354EA" w:rsidRPr="0013318A" w:rsidRDefault="007354EA" w:rsidP="00B37974">
      <w:pPr>
        <w:pStyle w:val="NoSpacing"/>
        <w:numPr>
          <w:ilvl w:val="0"/>
          <w:numId w:val="2"/>
        </w:numPr>
        <w:ind w:left="1080"/>
        <w:rPr>
          <w:sz w:val="24"/>
          <w:szCs w:val="24"/>
        </w:rPr>
      </w:pPr>
      <w:r w:rsidRPr="0013318A">
        <w:rPr>
          <w:sz w:val="24"/>
          <w:szCs w:val="24"/>
        </w:rPr>
        <w:t>Develop focused public communication campaigns highlighting the need for societal engagement with long-term care as a human rights and gender equality priority</w:t>
      </w:r>
    </w:p>
    <w:p w14:paraId="7B8FAF27" w14:textId="77777777" w:rsidR="007354EA" w:rsidRPr="0013318A" w:rsidRDefault="007354EA" w:rsidP="00B37974">
      <w:pPr>
        <w:pStyle w:val="NoSpacing"/>
        <w:numPr>
          <w:ilvl w:val="0"/>
          <w:numId w:val="2"/>
        </w:numPr>
        <w:ind w:left="1080"/>
        <w:rPr>
          <w:sz w:val="24"/>
          <w:szCs w:val="24"/>
        </w:rPr>
      </w:pPr>
      <w:r w:rsidRPr="0013318A">
        <w:rPr>
          <w:sz w:val="24"/>
          <w:szCs w:val="24"/>
        </w:rPr>
        <w:t xml:space="preserve">Generate and publicize data and knowledge about the effects of LTC on women and address key evidence gaps, including the working conditions and well-being of paid and unpaid </w:t>
      </w:r>
      <w:proofErr w:type="spellStart"/>
      <w:r w:rsidRPr="0013318A">
        <w:rPr>
          <w:sz w:val="24"/>
          <w:szCs w:val="24"/>
        </w:rPr>
        <w:t>carers</w:t>
      </w:r>
      <w:proofErr w:type="spellEnd"/>
      <w:r w:rsidRPr="0013318A">
        <w:rPr>
          <w:sz w:val="24"/>
          <w:szCs w:val="24"/>
        </w:rPr>
        <w:t xml:space="preserve"> as well as the vulnerability of frail older women to abuse and neglect</w:t>
      </w:r>
    </w:p>
    <w:p w14:paraId="523F6992" w14:textId="77777777" w:rsidR="007354EA" w:rsidRPr="0013318A" w:rsidRDefault="007354EA" w:rsidP="00B37974">
      <w:pPr>
        <w:pStyle w:val="NoSpacing"/>
        <w:numPr>
          <w:ilvl w:val="0"/>
          <w:numId w:val="2"/>
        </w:numPr>
        <w:ind w:left="1080"/>
        <w:rPr>
          <w:sz w:val="24"/>
          <w:szCs w:val="24"/>
        </w:rPr>
      </w:pPr>
      <w:r w:rsidRPr="0013318A">
        <w:rPr>
          <w:sz w:val="24"/>
          <w:szCs w:val="24"/>
        </w:rPr>
        <w:t xml:space="preserve">Support and promote efforts by paid and unpaid </w:t>
      </w:r>
      <w:proofErr w:type="spellStart"/>
      <w:r w:rsidRPr="0013318A">
        <w:rPr>
          <w:sz w:val="24"/>
          <w:szCs w:val="24"/>
        </w:rPr>
        <w:t>carers</w:t>
      </w:r>
      <w:proofErr w:type="spellEnd"/>
      <w:r w:rsidRPr="0013318A">
        <w:rPr>
          <w:sz w:val="24"/>
          <w:szCs w:val="24"/>
        </w:rPr>
        <w:t>, as well as those who rely on their care, to organize and form political alliances to reduce their marginalization from policymaking and emphasize their key stakeholder status</w:t>
      </w:r>
    </w:p>
    <w:p w14:paraId="65C1F05C" w14:textId="77777777" w:rsidR="007354EA" w:rsidRPr="0013318A" w:rsidRDefault="007354EA" w:rsidP="00B37974">
      <w:pPr>
        <w:pStyle w:val="NoSpacing"/>
        <w:numPr>
          <w:ilvl w:val="0"/>
          <w:numId w:val="2"/>
        </w:numPr>
        <w:ind w:left="1080"/>
        <w:rPr>
          <w:sz w:val="24"/>
          <w:szCs w:val="24"/>
        </w:rPr>
      </w:pPr>
      <w:r w:rsidRPr="0013318A">
        <w:rPr>
          <w:sz w:val="24"/>
          <w:szCs w:val="24"/>
        </w:rPr>
        <w:t>Ensure that activities aimed at enhancing the status and reducing the exploitation of domestic workers reflect their growing involvement in elder care</w:t>
      </w:r>
    </w:p>
    <w:p w14:paraId="5C2EEFF5" w14:textId="77777777" w:rsidR="007354EA" w:rsidRPr="0013318A" w:rsidRDefault="007354EA" w:rsidP="00B37974">
      <w:pPr>
        <w:pStyle w:val="NoSpacing"/>
        <w:numPr>
          <w:ilvl w:val="0"/>
          <w:numId w:val="2"/>
        </w:numPr>
        <w:ind w:left="1080"/>
        <w:rPr>
          <w:sz w:val="24"/>
          <w:szCs w:val="24"/>
        </w:rPr>
      </w:pPr>
      <w:r w:rsidRPr="0013318A">
        <w:rPr>
          <w:sz w:val="24"/>
          <w:szCs w:val="24"/>
        </w:rPr>
        <w:t>Grow organizational expertise about gender and LTC by facilitating and supporting strategic alliances between women’s rights groups and organizations working in this sector, including those representing older people</w:t>
      </w:r>
    </w:p>
    <w:p w14:paraId="0FB8717C" w14:textId="77777777" w:rsidR="007354EA" w:rsidRPr="0013318A" w:rsidRDefault="007354EA" w:rsidP="00B37974">
      <w:pPr>
        <w:pStyle w:val="NoSpacing"/>
        <w:numPr>
          <w:ilvl w:val="0"/>
          <w:numId w:val="2"/>
        </w:numPr>
        <w:ind w:left="1080"/>
        <w:rPr>
          <w:sz w:val="24"/>
          <w:szCs w:val="24"/>
        </w:rPr>
      </w:pPr>
      <w:r w:rsidRPr="0013318A">
        <w:rPr>
          <w:sz w:val="24"/>
          <w:szCs w:val="24"/>
        </w:rPr>
        <w:t>Promote interventions based on those that have already been successfully implemented, mainly in high-income countries, to reduce the burden and stress experienced by unpaid caregivers</w:t>
      </w:r>
    </w:p>
    <w:p w14:paraId="31E64F9B" w14:textId="77777777" w:rsidR="007354EA" w:rsidRPr="0013318A" w:rsidRDefault="007354EA" w:rsidP="00B37974">
      <w:pPr>
        <w:pStyle w:val="NoSpacing"/>
        <w:numPr>
          <w:ilvl w:val="0"/>
          <w:numId w:val="2"/>
        </w:numPr>
        <w:ind w:left="1080"/>
        <w:rPr>
          <w:sz w:val="24"/>
          <w:szCs w:val="24"/>
        </w:rPr>
      </w:pPr>
      <w:r w:rsidRPr="0013318A">
        <w:rPr>
          <w:sz w:val="24"/>
          <w:szCs w:val="24"/>
        </w:rPr>
        <w:t>Explore acceptable complements to unpaid family care, including community-based services such as day centres and home visits, especially in those developing countries where limited and low-quality residential care is currently the only option</w:t>
      </w:r>
    </w:p>
    <w:p w14:paraId="6B88B191" w14:textId="77777777" w:rsidR="007354EA" w:rsidRPr="0013318A" w:rsidRDefault="007354EA" w:rsidP="00B37974">
      <w:pPr>
        <w:pStyle w:val="NoSpacing"/>
        <w:numPr>
          <w:ilvl w:val="0"/>
          <w:numId w:val="2"/>
        </w:numPr>
        <w:ind w:left="1080"/>
        <w:rPr>
          <w:sz w:val="24"/>
          <w:szCs w:val="24"/>
        </w:rPr>
      </w:pPr>
      <w:r w:rsidRPr="0013318A">
        <w:rPr>
          <w:sz w:val="24"/>
          <w:szCs w:val="24"/>
        </w:rPr>
        <w:t xml:space="preserve">Ensure that paid </w:t>
      </w:r>
      <w:proofErr w:type="spellStart"/>
      <w:r w:rsidRPr="0013318A">
        <w:rPr>
          <w:sz w:val="24"/>
          <w:szCs w:val="24"/>
        </w:rPr>
        <w:t>carer</w:t>
      </w:r>
      <w:proofErr w:type="spellEnd"/>
      <w:r w:rsidRPr="0013318A">
        <w:rPr>
          <w:sz w:val="24"/>
          <w:szCs w:val="24"/>
        </w:rPr>
        <w:t xml:space="preserve"> conditions comply with decent work standards and link this to accreditation and professional standards to improve the status of this growing sector of the </w:t>
      </w:r>
      <w:proofErr w:type="spellStart"/>
      <w:r w:rsidRPr="0013318A">
        <w:rPr>
          <w:sz w:val="24"/>
          <w:szCs w:val="24"/>
        </w:rPr>
        <w:t>labour</w:t>
      </w:r>
      <w:proofErr w:type="spellEnd"/>
      <w:r w:rsidRPr="0013318A">
        <w:rPr>
          <w:sz w:val="24"/>
          <w:szCs w:val="24"/>
        </w:rPr>
        <w:t xml:space="preserve"> force</w:t>
      </w:r>
    </w:p>
    <w:p w14:paraId="7610F3B8" w14:textId="77777777" w:rsidR="007354EA" w:rsidRPr="0013318A" w:rsidRDefault="007354EA" w:rsidP="00B37974">
      <w:pPr>
        <w:pStyle w:val="NoSpacing"/>
        <w:ind w:left="360"/>
        <w:rPr>
          <w:sz w:val="24"/>
          <w:szCs w:val="24"/>
        </w:rPr>
      </w:pPr>
    </w:p>
    <w:p w14:paraId="1B904CFF" w14:textId="77777777" w:rsidR="007354EA" w:rsidRPr="0013318A" w:rsidRDefault="007354EA" w:rsidP="00B37974">
      <w:pPr>
        <w:ind w:left="360"/>
        <w:rPr>
          <w:sz w:val="24"/>
          <w:szCs w:val="24"/>
        </w:rPr>
      </w:pPr>
    </w:p>
    <w:sectPr w:rsidR="007354EA" w:rsidRPr="0013318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51FD4" w14:textId="77777777" w:rsidR="000B1358" w:rsidRDefault="000B1358" w:rsidP="0098523E">
      <w:pPr>
        <w:spacing w:after="0" w:line="240" w:lineRule="auto"/>
      </w:pPr>
      <w:r>
        <w:separator/>
      </w:r>
    </w:p>
  </w:endnote>
  <w:endnote w:type="continuationSeparator" w:id="0">
    <w:p w14:paraId="19EC0A22" w14:textId="77777777" w:rsidR="000B1358" w:rsidRDefault="000B1358" w:rsidP="0098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264221"/>
      <w:docPartObj>
        <w:docPartGallery w:val="Page Numbers (Bottom of Page)"/>
        <w:docPartUnique/>
      </w:docPartObj>
    </w:sdtPr>
    <w:sdtEndPr>
      <w:rPr>
        <w:noProof/>
      </w:rPr>
    </w:sdtEndPr>
    <w:sdtContent>
      <w:p w14:paraId="246DC7BA" w14:textId="21E793ED" w:rsidR="003D1299" w:rsidRDefault="003D12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8463D7" w14:textId="77777777" w:rsidR="003D1299" w:rsidRDefault="003D1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011C6" w14:textId="77777777" w:rsidR="000B1358" w:rsidRDefault="000B1358" w:rsidP="0098523E">
      <w:pPr>
        <w:spacing w:after="0" w:line="240" w:lineRule="auto"/>
      </w:pPr>
      <w:r>
        <w:separator/>
      </w:r>
    </w:p>
  </w:footnote>
  <w:footnote w:type="continuationSeparator" w:id="0">
    <w:p w14:paraId="654E0245" w14:textId="77777777" w:rsidR="000B1358" w:rsidRDefault="000B1358" w:rsidP="0098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FA377" w14:textId="76C36A2A" w:rsidR="0098523E" w:rsidRDefault="0098523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9536B"/>
    <w:multiLevelType w:val="hybridMultilevel"/>
    <w:tmpl w:val="A114F860"/>
    <w:lvl w:ilvl="0" w:tplc="11E00A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33E17"/>
    <w:multiLevelType w:val="hybridMultilevel"/>
    <w:tmpl w:val="A1F6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A6AC9"/>
    <w:multiLevelType w:val="hybridMultilevel"/>
    <w:tmpl w:val="BAA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24CB1"/>
    <w:multiLevelType w:val="hybridMultilevel"/>
    <w:tmpl w:val="E848C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FB62FA"/>
    <w:multiLevelType w:val="hybridMultilevel"/>
    <w:tmpl w:val="74B011DA"/>
    <w:lvl w:ilvl="0" w:tplc="04090001">
      <w:start w:val="1"/>
      <w:numFmt w:val="bullet"/>
      <w:lvlText w:val=""/>
      <w:lvlJc w:val="left"/>
      <w:pPr>
        <w:ind w:left="720" w:hanging="360"/>
      </w:pPr>
      <w:rPr>
        <w:rFonts w:ascii="Symbol" w:hAnsi="Symbol" w:hint="default"/>
      </w:rPr>
    </w:lvl>
    <w:lvl w:ilvl="1" w:tplc="18CCAB7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1010C"/>
    <w:multiLevelType w:val="hybridMultilevel"/>
    <w:tmpl w:val="965027D8"/>
    <w:lvl w:ilvl="0" w:tplc="04090001">
      <w:start w:val="1"/>
      <w:numFmt w:val="bullet"/>
      <w:lvlText w:val=""/>
      <w:lvlJc w:val="left"/>
      <w:pPr>
        <w:ind w:left="720" w:hanging="360"/>
      </w:pPr>
      <w:rPr>
        <w:rFonts w:ascii="Symbol" w:hAnsi="Symbol" w:hint="default"/>
      </w:rPr>
    </w:lvl>
    <w:lvl w:ilvl="1" w:tplc="E8A005B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75800"/>
    <w:multiLevelType w:val="hybridMultilevel"/>
    <w:tmpl w:val="806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93"/>
    <w:rsid w:val="00063E1C"/>
    <w:rsid w:val="00092F7B"/>
    <w:rsid w:val="000B1358"/>
    <w:rsid w:val="00126FFB"/>
    <w:rsid w:val="0013318A"/>
    <w:rsid w:val="001A5722"/>
    <w:rsid w:val="001F64B1"/>
    <w:rsid w:val="00200A50"/>
    <w:rsid w:val="0021293B"/>
    <w:rsid w:val="00216047"/>
    <w:rsid w:val="00223DEE"/>
    <w:rsid w:val="002B08F0"/>
    <w:rsid w:val="00387723"/>
    <w:rsid w:val="003A1B01"/>
    <w:rsid w:val="003D1299"/>
    <w:rsid w:val="003D5FB3"/>
    <w:rsid w:val="00422896"/>
    <w:rsid w:val="0044359A"/>
    <w:rsid w:val="004A1C3C"/>
    <w:rsid w:val="004B557D"/>
    <w:rsid w:val="004F432E"/>
    <w:rsid w:val="005E4FFB"/>
    <w:rsid w:val="0067331F"/>
    <w:rsid w:val="00696634"/>
    <w:rsid w:val="006E43D3"/>
    <w:rsid w:val="007354EA"/>
    <w:rsid w:val="007C2980"/>
    <w:rsid w:val="00931924"/>
    <w:rsid w:val="00946B91"/>
    <w:rsid w:val="0098523E"/>
    <w:rsid w:val="009B640F"/>
    <w:rsid w:val="00A14AE3"/>
    <w:rsid w:val="00A90AC3"/>
    <w:rsid w:val="00AA6EF9"/>
    <w:rsid w:val="00B37974"/>
    <w:rsid w:val="00CB379D"/>
    <w:rsid w:val="00CD577D"/>
    <w:rsid w:val="00D26582"/>
    <w:rsid w:val="00D7676B"/>
    <w:rsid w:val="00DA4493"/>
    <w:rsid w:val="00E3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BB87"/>
  <w15:chartTrackingRefBased/>
  <w15:docId w15:val="{07E84C76-DB8E-478C-B3DE-4D5354BA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9B640F"/>
  </w:style>
  <w:style w:type="paragraph" w:styleId="Heading1">
    <w:name w:val="heading 1"/>
    <w:basedOn w:val="Normal"/>
    <w:next w:val="Normal"/>
    <w:link w:val="Heading1Char"/>
    <w:uiPriority w:val="9"/>
    <w:qFormat/>
    <w:rsid w:val="009B6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64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90AC3"/>
    <w:pPr>
      <w:keepNext/>
      <w:keepLines/>
      <w:suppressAutoHyphens/>
      <w:spacing w:before="40" w:after="0" w:line="240" w:lineRule="exact"/>
      <w:outlineLvl w:val="2"/>
    </w:pPr>
    <w:rPr>
      <w:rFonts w:asciiTheme="majorHAnsi" w:eastAsiaTheme="majorEastAsia" w:hAnsiTheme="majorHAnsi" w:cstheme="majorBidi"/>
      <w:color w:val="1F3763" w:themeColor="accent1" w:themeShade="7F"/>
      <w:spacing w:val="4"/>
      <w:w w:val="103"/>
      <w:kern w:val="14"/>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ftref,Ref"/>
    <w:basedOn w:val="Normal"/>
    <w:link w:val="FootnoteReference"/>
    <w:rsid w:val="009B640F"/>
    <w:pPr>
      <w:suppressAutoHyphens/>
      <w:spacing w:line="240" w:lineRule="exact"/>
      <w:jc w:val="both"/>
    </w:pPr>
    <w:rPr>
      <w:vertAlign w:val="superscript"/>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 Char Char Char Char Char Car Zchn Zchn Char,4_G Ch"/>
    <w:basedOn w:val="DefaultParagraphFont"/>
    <w:link w:val="FootnotesymbolCarZchnZchn"/>
    <w:unhideWhenUsed/>
    <w:rsid w:val="009B640F"/>
    <w:rPr>
      <w:vertAlign w:val="superscript"/>
    </w:rPr>
  </w:style>
  <w:style w:type="character" w:customStyle="1" w:styleId="Heading1Char">
    <w:name w:val="Heading 1 Char"/>
    <w:basedOn w:val="DefaultParagraphFont"/>
    <w:link w:val="Heading1"/>
    <w:uiPriority w:val="9"/>
    <w:rsid w:val="009B64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40F"/>
    <w:rPr>
      <w:rFonts w:asciiTheme="majorHAnsi" w:eastAsiaTheme="majorEastAsia" w:hAnsiTheme="majorHAnsi" w:cstheme="majorBidi"/>
      <w:color w:val="2F5496" w:themeColor="accent1" w:themeShade="BF"/>
      <w:sz w:val="26"/>
      <w:szCs w:val="26"/>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es"/>
    <w:basedOn w:val="Normal"/>
    <w:link w:val="FootnoteTextChar"/>
    <w:unhideWhenUsed/>
    <w:qFormat/>
    <w:rsid w:val="009B640F"/>
    <w:pPr>
      <w:spacing w:after="0" w:line="240" w:lineRule="auto"/>
    </w:pPr>
    <w:rPr>
      <w:rFonts w:eastAsiaTheme="minorEastAsia"/>
      <w:sz w:val="24"/>
      <w:szCs w:val="24"/>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rsid w:val="009B640F"/>
    <w:rPr>
      <w:rFonts w:eastAsiaTheme="minorEastAsia"/>
      <w:sz w:val="24"/>
      <w:szCs w:val="24"/>
    </w:rPr>
  </w:style>
  <w:style w:type="paragraph" w:styleId="CommentText">
    <w:name w:val="annotation text"/>
    <w:basedOn w:val="Normal"/>
    <w:link w:val="CommentTextChar"/>
    <w:uiPriority w:val="99"/>
    <w:unhideWhenUsed/>
    <w:rsid w:val="009B640F"/>
    <w:pPr>
      <w:spacing w:after="200" w:line="240" w:lineRule="auto"/>
    </w:pPr>
    <w:rPr>
      <w:sz w:val="20"/>
      <w:szCs w:val="20"/>
    </w:rPr>
  </w:style>
  <w:style w:type="character" w:customStyle="1" w:styleId="CommentTextChar">
    <w:name w:val="Comment Text Char"/>
    <w:basedOn w:val="DefaultParagraphFont"/>
    <w:link w:val="CommentText"/>
    <w:uiPriority w:val="99"/>
    <w:rsid w:val="009B640F"/>
    <w:rPr>
      <w:sz w:val="20"/>
      <w:szCs w:val="20"/>
    </w:rPr>
  </w:style>
  <w:style w:type="character" w:styleId="CommentReference">
    <w:name w:val="annotation reference"/>
    <w:basedOn w:val="DefaultParagraphFont"/>
    <w:uiPriority w:val="99"/>
    <w:semiHidden/>
    <w:unhideWhenUsed/>
    <w:rsid w:val="009B640F"/>
    <w:rPr>
      <w:sz w:val="16"/>
      <w:szCs w:val="16"/>
    </w:rPr>
  </w:style>
  <w:style w:type="paragraph" w:styleId="List">
    <w:name w:val="List"/>
    <w:basedOn w:val="Normal"/>
    <w:autoRedefine/>
    <w:uiPriority w:val="99"/>
    <w:semiHidden/>
    <w:unhideWhenUsed/>
    <w:qFormat/>
    <w:rsid w:val="009B640F"/>
    <w:pPr>
      <w:ind w:left="360" w:hanging="360"/>
      <w:contextualSpacing/>
    </w:pPr>
  </w:style>
  <w:style w:type="character" w:styleId="Hyperlink">
    <w:name w:val="Hyperlink"/>
    <w:basedOn w:val="DefaultParagraphFont"/>
    <w:uiPriority w:val="99"/>
    <w:unhideWhenUsed/>
    <w:rsid w:val="009B640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B640F"/>
    <w:pPr>
      <w:spacing w:after="160"/>
    </w:pPr>
    <w:rPr>
      <w:b/>
      <w:bCs/>
    </w:rPr>
  </w:style>
  <w:style w:type="character" w:customStyle="1" w:styleId="CommentSubjectChar">
    <w:name w:val="Comment Subject Char"/>
    <w:basedOn w:val="CommentTextChar"/>
    <w:link w:val="CommentSubject"/>
    <w:uiPriority w:val="99"/>
    <w:semiHidden/>
    <w:rsid w:val="009B640F"/>
    <w:rPr>
      <w:b/>
      <w:bCs/>
      <w:sz w:val="20"/>
      <w:szCs w:val="20"/>
    </w:rPr>
  </w:style>
  <w:style w:type="paragraph" w:styleId="BalloonText">
    <w:name w:val="Balloon Text"/>
    <w:basedOn w:val="Normal"/>
    <w:link w:val="BalloonTextChar"/>
    <w:uiPriority w:val="99"/>
    <w:semiHidden/>
    <w:unhideWhenUsed/>
    <w:rsid w:val="009B6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40F"/>
    <w:rPr>
      <w:rFonts w:ascii="Segoe UI" w:hAnsi="Segoe UI" w:cs="Segoe UI"/>
      <w:sz w:val="18"/>
      <w:szCs w:val="18"/>
    </w:rPr>
  </w:style>
  <w:style w:type="paragraph" w:styleId="NoSpacing">
    <w:name w:val="No Spacing"/>
    <w:uiPriority w:val="1"/>
    <w:qFormat/>
    <w:rsid w:val="009B640F"/>
    <w:pPr>
      <w:spacing w:after="0" w:line="240" w:lineRule="auto"/>
    </w:pPr>
  </w:style>
  <w:style w:type="character" w:customStyle="1" w:styleId="Heading3Char">
    <w:name w:val="Heading 3 Char"/>
    <w:basedOn w:val="DefaultParagraphFont"/>
    <w:link w:val="Heading3"/>
    <w:semiHidden/>
    <w:rsid w:val="00A90AC3"/>
    <w:rPr>
      <w:rFonts w:asciiTheme="majorHAnsi" w:eastAsiaTheme="majorEastAsia" w:hAnsiTheme="majorHAnsi" w:cstheme="majorBidi"/>
      <w:color w:val="1F3763" w:themeColor="accent1" w:themeShade="7F"/>
      <w:spacing w:val="4"/>
      <w:w w:val="103"/>
      <w:kern w:val="14"/>
      <w:sz w:val="24"/>
      <w:szCs w:val="24"/>
      <w:lang w:val="en-GB"/>
    </w:rPr>
  </w:style>
  <w:style w:type="paragraph" w:styleId="ListParagraph">
    <w:name w:val="List Paragraph"/>
    <w:basedOn w:val="Normal"/>
    <w:uiPriority w:val="34"/>
    <w:qFormat/>
    <w:rsid w:val="005E4FFB"/>
    <w:pPr>
      <w:ind w:left="720"/>
      <w:contextualSpacing/>
    </w:pPr>
  </w:style>
  <w:style w:type="character" w:styleId="FollowedHyperlink">
    <w:name w:val="FollowedHyperlink"/>
    <w:basedOn w:val="DefaultParagraphFont"/>
    <w:uiPriority w:val="99"/>
    <w:semiHidden/>
    <w:unhideWhenUsed/>
    <w:rsid w:val="00A14AE3"/>
    <w:rPr>
      <w:color w:val="954F72" w:themeColor="followedHyperlink"/>
      <w:u w:val="single"/>
    </w:rPr>
  </w:style>
  <w:style w:type="character" w:styleId="UnresolvedMention">
    <w:name w:val="Unresolved Mention"/>
    <w:basedOn w:val="DefaultParagraphFont"/>
    <w:uiPriority w:val="99"/>
    <w:semiHidden/>
    <w:unhideWhenUsed/>
    <w:rsid w:val="00946B91"/>
    <w:rPr>
      <w:color w:val="605E5C"/>
      <w:shd w:val="clear" w:color="auto" w:fill="E1DFDD"/>
    </w:rPr>
  </w:style>
  <w:style w:type="paragraph" w:styleId="Header">
    <w:name w:val="header"/>
    <w:basedOn w:val="Normal"/>
    <w:link w:val="HeaderChar"/>
    <w:uiPriority w:val="99"/>
    <w:unhideWhenUsed/>
    <w:rsid w:val="00985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3E"/>
  </w:style>
  <w:style w:type="paragraph" w:styleId="Footer">
    <w:name w:val="footer"/>
    <w:basedOn w:val="Normal"/>
    <w:link w:val="FooterChar"/>
    <w:uiPriority w:val="99"/>
    <w:unhideWhenUsed/>
    <w:rsid w:val="00985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wcmsp5/groups/public/---dgreports/---dcomm/---publ/documents/publication/wcms_457317.pdf" TargetMode="External"/><Relationship Id="rId13" Type="http://schemas.openxmlformats.org/officeDocument/2006/relationships/hyperlink" Target="http://www.unwomen.org/en/digital-library/publications/2017/12/long-term-care-for-older-people" TargetMode="External"/><Relationship Id="rId3" Type="http://schemas.openxmlformats.org/officeDocument/2006/relationships/settings" Target="settings.xml"/><Relationship Id="rId7" Type="http://schemas.openxmlformats.org/officeDocument/2006/relationships/hyperlink" Target="http://www.ilo.org/wcmsp5/groups/public/---dgreports/---dcomm/---publ/documents/publication/wcms_604882.pdf" TargetMode="External"/><Relationship Id="rId12" Type="http://schemas.openxmlformats.org/officeDocument/2006/relationships/hyperlink" Target="http://www.unwomen.org/en/digital-library/publications/2018/2/gender-equality-in-the-2030-agenda-for-sustainable-development-20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women.org/en/csw/csw63-20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women.org/en/digital-library/publications/2015/12/women-income-security-in-old-age" TargetMode="External"/><Relationship Id="rId4" Type="http://schemas.openxmlformats.org/officeDocument/2006/relationships/webSettings" Target="webSettings.xml"/><Relationship Id="rId9" Type="http://schemas.openxmlformats.org/officeDocument/2006/relationships/hyperlink" Target="https://www.odi.org/older-women/empower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Staab, Silke</dc:creator>
  <cp:keywords/>
  <dc:description/>
  <cp:lastModifiedBy>Shivangi Shrivastava</cp:lastModifiedBy>
  <cp:revision>33</cp:revision>
  <dcterms:created xsi:type="dcterms:W3CDTF">2019-01-29T16:51:00Z</dcterms:created>
  <dcterms:modified xsi:type="dcterms:W3CDTF">2019-01-29T20:32:00Z</dcterms:modified>
</cp:coreProperties>
</file>